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CCA" w:rsidRDefault="00BE6CCA" w:rsidP="00BE6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BIROUL ROMÂN DE METROLOGIE LEGALĂ</w:t>
      </w:r>
    </w:p>
    <w:p w:rsidR="00BE6CCA" w:rsidRDefault="00BE6CCA" w:rsidP="00BE6CC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</w:rPr>
      </w:pPr>
    </w:p>
    <w:p w:rsidR="00BE6CCA" w:rsidRDefault="00BE6CCA" w:rsidP="00BE6CCA">
      <w:pPr>
        <w:rPr>
          <w:b/>
        </w:rPr>
      </w:pPr>
    </w:p>
    <w:p w:rsidR="00BE6CCA" w:rsidRDefault="00BE6CCA" w:rsidP="00BE6CCA">
      <w:pPr>
        <w:jc w:val="center"/>
        <w:rPr>
          <w:b/>
        </w:rPr>
      </w:pPr>
    </w:p>
    <w:p w:rsidR="00BE6CCA" w:rsidRDefault="00BE6CCA" w:rsidP="00BE6CCA">
      <w:pPr>
        <w:jc w:val="center"/>
        <w:rPr>
          <w:b/>
        </w:rPr>
      </w:pPr>
      <w:bookmarkStart w:id="0" w:name="_GoBack"/>
      <w:r>
        <w:rPr>
          <w:b/>
        </w:rPr>
        <w:t>TEMATICA SI BIBLIOGRAFIE</w:t>
      </w:r>
    </w:p>
    <w:p w:rsidR="00BE6CCA" w:rsidRDefault="00BE6CCA" w:rsidP="00BE6CCA">
      <w:pPr>
        <w:jc w:val="center"/>
        <w:rPr>
          <w:b/>
        </w:rPr>
      </w:pPr>
      <w:r>
        <w:rPr>
          <w:b/>
        </w:rPr>
        <w:t xml:space="preserve">pentru examenul de promovare </w:t>
      </w:r>
    </w:p>
    <w:p w:rsidR="00BE6CCA" w:rsidRDefault="00BE6CCA" w:rsidP="00BE6CCA">
      <w:pPr>
        <w:jc w:val="center"/>
        <w:rPr>
          <w:b/>
        </w:rPr>
      </w:pPr>
      <w:r>
        <w:rPr>
          <w:b/>
        </w:rPr>
        <w:t xml:space="preserve">in functia de referent de specialitate gradul I </w:t>
      </w:r>
    </w:p>
    <w:p w:rsidR="00BE6CCA" w:rsidRDefault="00BE6CCA" w:rsidP="00BE6CCA">
      <w:pPr>
        <w:jc w:val="center"/>
        <w:rPr>
          <w:b/>
        </w:rPr>
      </w:pPr>
      <w:r>
        <w:rPr>
          <w:b/>
        </w:rPr>
        <w:t>in cadrul SJML Vaslui</w:t>
      </w:r>
    </w:p>
    <w:bookmarkEnd w:id="0"/>
    <w:p w:rsidR="00BE6CCA" w:rsidRDefault="00BE6CCA" w:rsidP="00BE6CCA">
      <w:pPr>
        <w:jc w:val="both"/>
      </w:pPr>
    </w:p>
    <w:p w:rsidR="00BE6CCA" w:rsidRDefault="00BE6CCA" w:rsidP="00BE6CCA">
      <w:pPr>
        <w:jc w:val="both"/>
      </w:pPr>
      <w:r>
        <w:tab/>
      </w:r>
      <w:r>
        <w:rPr>
          <w:b/>
          <w:u w:val="single"/>
        </w:rPr>
        <w:t>Tematica</w:t>
      </w:r>
    </w:p>
    <w:p w:rsidR="00BE6CCA" w:rsidRDefault="00BE6CCA" w:rsidP="00BE6CCA">
      <w:pPr>
        <w:jc w:val="both"/>
      </w:pPr>
    </w:p>
    <w:p w:rsidR="00BE6CCA" w:rsidRDefault="00BE6CCA" w:rsidP="00BE6CCA">
      <w:pPr>
        <w:spacing w:line="276" w:lineRule="auto"/>
        <w:jc w:val="both"/>
      </w:pPr>
      <w:r>
        <w:t>1.</w:t>
      </w:r>
      <w:r>
        <w:tab/>
        <w:t xml:space="preserve">Prevederile Legii contabilităţii nr. 82/1991 privind: </w:t>
      </w:r>
    </w:p>
    <w:p w:rsidR="00BE6CCA" w:rsidRDefault="00BE6CCA" w:rsidP="00BE6CCA">
      <w:pPr>
        <w:spacing w:line="276" w:lineRule="auto"/>
        <w:ind w:left="709"/>
        <w:jc w:val="both"/>
      </w:pPr>
      <w:r>
        <w:t xml:space="preserve">a) principiile care stau la baza înregistrărilor în evidenţa contabilă (cronologic, sistematic, documentarea şi valoarea de înregistrare a bunurilor şi creanţelor); </w:t>
      </w:r>
    </w:p>
    <w:p w:rsidR="00BE6CCA" w:rsidRDefault="00BE6CCA" w:rsidP="00BE6CCA">
      <w:pPr>
        <w:spacing w:line="276" w:lineRule="auto"/>
        <w:ind w:left="709"/>
        <w:jc w:val="both"/>
      </w:pPr>
      <w:r>
        <w:t xml:space="preserve">b) noţiunea de patrimoniu, inventarierea patrimoniului şi evaluarea elementelor patrimoniale, evaluarea patrimoniului şi particularităţile privind patrimoniul public al statului. </w:t>
      </w:r>
    </w:p>
    <w:p w:rsidR="00BE6CCA" w:rsidRDefault="00BE6CCA" w:rsidP="00BE6CCA">
      <w:pPr>
        <w:spacing w:line="276" w:lineRule="auto"/>
        <w:jc w:val="both"/>
      </w:pPr>
      <w:r>
        <w:t xml:space="preserve">2. </w:t>
      </w:r>
      <w:r>
        <w:tab/>
        <w:t xml:space="preserve">Inventarierea patrimoniului conform Ordin MF 2861/2009. </w:t>
      </w:r>
    </w:p>
    <w:p w:rsidR="00BE6CCA" w:rsidRDefault="00BE6CCA" w:rsidP="00BE6CCA">
      <w:pPr>
        <w:spacing w:line="276" w:lineRule="auto"/>
        <w:jc w:val="both"/>
      </w:pPr>
      <w:r>
        <w:t xml:space="preserve">3. </w:t>
      </w:r>
      <w:r>
        <w:tab/>
        <w:t xml:space="preserve">Evidenţa contabilă a veniturilor, plăţilor nete şi a cheltuielilor la instituţile publice a căror activitate este finanţată din venituri proprii şi subvenţii - cadru general şi comun al clasificaţiei bugetare. </w:t>
      </w:r>
    </w:p>
    <w:p w:rsidR="00BE6CCA" w:rsidRDefault="00BE6CCA" w:rsidP="00BE6CCA">
      <w:pPr>
        <w:spacing w:line="276" w:lineRule="auto"/>
        <w:jc w:val="both"/>
      </w:pPr>
      <w:r>
        <w:t xml:space="preserve">4. </w:t>
      </w:r>
      <w:r>
        <w:tab/>
        <w:t xml:space="preserve">Creanţele instituţiilor publice - termene şi prescripţii. </w:t>
      </w:r>
    </w:p>
    <w:p w:rsidR="00BE6CCA" w:rsidRDefault="00BE6CCA" w:rsidP="00BE6CCA">
      <w:pPr>
        <w:spacing w:line="276" w:lineRule="auto"/>
        <w:jc w:val="both"/>
      </w:pPr>
      <w:r>
        <w:t xml:space="preserve">5. </w:t>
      </w:r>
      <w:r>
        <w:tab/>
        <w:t xml:space="preserve">Somaţia de plată ca procedură de executare a creanţelor. </w:t>
      </w:r>
    </w:p>
    <w:p w:rsidR="00BE6CCA" w:rsidRDefault="00BE6CCA" w:rsidP="00BE6CCA">
      <w:pPr>
        <w:spacing w:line="276" w:lineRule="auto"/>
        <w:jc w:val="both"/>
      </w:pPr>
      <w:r>
        <w:t xml:space="preserve">6. </w:t>
      </w:r>
      <w:r>
        <w:tab/>
        <w:t xml:space="preserve">Răspunderea patrimonială a salariatului: condiţii, procedură. </w:t>
      </w:r>
    </w:p>
    <w:p w:rsidR="00BE6CCA" w:rsidRDefault="00BE6CCA" w:rsidP="00BE6CCA">
      <w:pPr>
        <w:spacing w:line="276" w:lineRule="auto"/>
        <w:jc w:val="both"/>
      </w:pPr>
      <w:r>
        <w:t xml:space="preserve">7. </w:t>
      </w:r>
      <w:r>
        <w:tab/>
        <w:t xml:space="preserve">Resurse umane si salarizare. </w:t>
      </w:r>
    </w:p>
    <w:p w:rsidR="00BE6CCA" w:rsidRDefault="00BE6CCA" w:rsidP="00BE6CCA">
      <w:pPr>
        <w:spacing w:line="276" w:lineRule="auto"/>
        <w:jc w:val="both"/>
      </w:pPr>
      <w:r>
        <w:t xml:space="preserve">8. </w:t>
      </w:r>
      <w:r>
        <w:tab/>
        <w:t xml:space="preserve">Timpul de mucă şi timpul de odihnă - Codul Muncii. </w:t>
      </w:r>
    </w:p>
    <w:p w:rsidR="00BE6CCA" w:rsidRDefault="00BE6CCA" w:rsidP="00BE6CCA">
      <w:pPr>
        <w:spacing w:line="276" w:lineRule="auto"/>
        <w:jc w:val="both"/>
      </w:pPr>
      <w:r>
        <w:t>9.         Sănătatea şi securitatea în muncă - Codul Muncii.</w:t>
      </w:r>
    </w:p>
    <w:p w:rsidR="00BE6CCA" w:rsidRDefault="00BE6CCA" w:rsidP="00BE6CCA">
      <w:pPr>
        <w:spacing w:line="276" w:lineRule="auto"/>
        <w:jc w:val="both"/>
      </w:pPr>
      <w:r>
        <w:t xml:space="preserve">10.     Calculul salariilor şi obligaţiilor de plată ale instituţiilor publice în raport cu: bugetul de stat bugetul asigurărilor sociale de stat, terţe persoane juridice şi fizice. </w:t>
      </w:r>
    </w:p>
    <w:p w:rsidR="00BE6CCA" w:rsidRDefault="00BE6CCA" w:rsidP="00BE6CCA">
      <w:pPr>
        <w:spacing w:line="276" w:lineRule="auto"/>
        <w:jc w:val="both"/>
      </w:pPr>
      <w:r>
        <w:t xml:space="preserve">11.      Executarea şi modificarea contractului individual de muncă - Codul Muncii. Suspendarea contractului individual de muncă, incetarea contractului individual de muncă. </w:t>
      </w:r>
    </w:p>
    <w:p w:rsidR="00BE6CCA" w:rsidRDefault="00BE6CCA" w:rsidP="00BE6CCA">
      <w:pPr>
        <w:spacing w:line="276" w:lineRule="auto"/>
        <w:ind w:left="709" w:hanging="709"/>
        <w:jc w:val="both"/>
      </w:pPr>
      <w:r>
        <w:t>12.        Gestionarea bunurilor materiale, mijloacelor băneşti şi altor valori.</w:t>
      </w:r>
    </w:p>
    <w:p w:rsidR="00BE6CCA" w:rsidRDefault="00BE6CCA" w:rsidP="00BE6CCA">
      <w:pPr>
        <w:spacing w:line="276" w:lineRule="auto"/>
        <w:ind w:left="709" w:hanging="709"/>
        <w:jc w:val="both"/>
      </w:pPr>
      <w:r>
        <w:t xml:space="preserve">13.        Credite bugetare, angajamente bugetare şi angajamente legale. </w:t>
      </w:r>
    </w:p>
    <w:p w:rsidR="00BE6CCA" w:rsidRDefault="00BE6CCA" w:rsidP="00BE6CCA">
      <w:pPr>
        <w:spacing w:line="276" w:lineRule="auto"/>
        <w:jc w:val="both"/>
      </w:pPr>
      <w:r>
        <w:t xml:space="preserve">14.        Efectuarea încasărilor şi plăţilor în numerar şi justificarea lor. </w:t>
      </w:r>
    </w:p>
    <w:p w:rsidR="00BE6CCA" w:rsidRDefault="00BE6CCA" w:rsidP="00BE6CCA">
      <w:pPr>
        <w:spacing w:line="276" w:lineRule="auto"/>
        <w:jc w:val="both"/>
      </w:pPr>
      <w:r>
        <w:t xml:space="preserve">15.        Acordarea de avansuri îl?-numerar şi decontarea lor. </w:t>
      </w:r>
    </w:p>
    <w:p w:rsidR="00BE6CCA" w:rsidRDefault="00BE6CCA" w:rsidP="00BE6CCA">
      <w:pPr>
        <w:spacing w:line="276" w:lineRule="auto"/>
      </w:pPr>
      <w:r>
        <w:t xml:space="preserve">16.        Principalele atribuţii ale Biroului Român de Metrologie Legală si structura organizatorică. </w:t>
      </w:r>
    </w:p>
    <w:p w:rsidR="00BE6CCA" w:rsidRDefault="00BE6CCA" w:rsidP="00BE6CCA">
      <w:pPr>
        <w:jc w:val="both"/>
      </w:pPr>
      <w:r>
        <w:t>17.        Note contabile şi probă practică pe calculator.</w:t>
      </w:r>
    </w:p>
    <w:p w:rsidR="00BE6CCA" w:rsidRDefault="00BE6CCA" w:rsidP="00BE6CCA">
      <w:pPr>
        <w:jc w:val="both"/>
      </w:pPr>
    </w:p>
    <w:p w:rsidR="00BE6CCA" w:rsidRDefault="00BE6CCA" w:rsidP="00BE6CCA">
      <w:pPr>
        <w:jc w:val="both"/>
      </w:pPr>
      <w:r>
        <w:tab/>
      </w:r>
      <w:r>
        <w:rPr>
          <w:b/>
          <w:u w:val="single"/>
        </w:rPr>
        <w:t>Bibliografie</w:t>
      </w:r>
    </w:p>
    <w:p w:rsidR="00BE6CCA" w:rsidRDefault="00BE6CCA" w:rsidP="00BE6CCA">
      <w:pPr>
        <w:jc w:val="both"/>
      </w:pP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lastRenderedPageBreak/>
        <w:t xml:space="preserve">HG 193/2002 - privind organizarea şi funcţionarea BRML, cu modificările şi completările ulterioare. 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Legea 82/1991 - legea contabilităţii, republicată. 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Legea 500/2002 - legea finanţelor publice şi OMF 1792/2002 pentru aprobarea normelor metodologice privind angajarea, lichidarea, ordonanţarea şi plata cheltuielilor instituţiilor publice, precum şi organizarea, evidenţa şi raportarea angajamentelor bugetare şi legale, cu modificările şi completările ulterioare. 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Legea 227/2015 privind codul fiscal, cu modificările şi completările ulterioare. 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HG 1/2016 pentru aprobarea normelor metodologice de aplicare a Legii nr. 227/2015 privind Codul Fiscal. 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Legea nr 207 / 2015 privind Codul de procedură fiscală. 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Decretul 209/1976 privind regulamentul operaţiunilor de casă. 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>Ordinul 2861/2009 pentru aprobarea normelor metodologice privind organizarea si efectuarea inventarierii elementelor de natura activelor, datoriilor şi capitalurilor proprii.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 Ordinul MFP 1917/20.05 pentru aprobarea normelor metodologice privind organizarea şi conducerea contabilităţii instituţiilor publice şi a planului de conturi pentru instituţiile publice.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>Legea 53/2003 Codul muncii cu modificările şi completările ulterioare.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>Legea 153/2017 privind salarizarea unitară a personalului plătit din fonduri publice.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>Legea nr. 263/2010 privind sistemul unitar de pensii publice.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Legea 22/1969 privind angajarea gestionarilor, constituirea de garanţii şi răspunderea în legătură cu gestionarea bunurilor. 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>Art. 1014 din noul Cod de procedura civilă privind procedura somaţiei de plată.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 xml:space="preserve"> O.G. nr. 2/2001 privind regimul juridic al contravenţiilor, cu modificările şi completările ulterioare</w:t>
      </w:r>
    </w:p>
    <w:p w:rsidR="00BE6CCA" w:rsidRDefault="00BE6CCA" w:rsidP="00BE6CCA">
      <w:pPr>
        <w:numPr>
          <w:ilvl w:val="0"/>
          <w:numId w:val="1"/>
        </w:numPr>
        <w:suppressAutoHyphens w:val="0"/>
        <w:spacing w:line="276" w:lineRule="auto"/>
        <w:jc w:val="both"/>
      </w:pPr>
      <w:r>
        <w:t>OUG 158/2005 privind concediile şi indemnizaţiile de asigurări sociale de sănătate cu modificările şi completările ulterioare.</w:t>
      </w:r>
    </w:p>
    <w:p w:rsidR="00F0373A" w:rsidRDefault="00F0373A"/>
    <w:sectPr w:rsidR="00F03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1C7D"/>
    <w:multiLevelType w:val="hybridMultilevel"/>
    <w:tmpl w:val="17CEA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09"/>
    <w:rsid w:val="00592B09"/>
    <w:rsid w:val="00BE6CCA"/>
    <w:rsid w:val="00F0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936AAA-AF27-4DE5-A968-1858E8E6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3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3257</Characters>
  <Application>Microsoft Office Word</Application>
  <DocSecurity>0</DocSecurity>
  <Lines>27</Lines>
  <Paragraphs>7</Paragraphs>
  <ScaleCrop>false</ScaleCrop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2</cp:revision>
  <dcterms:created xsi:type="dcterms:W3CDTF">2021-11-16T08:08:00Z</dcterms:created>
  <dcterms:modified xsi:type="dcterms:W3CDTF">2021-11-16T08:08:00Z</dcterms:modified>
</cp:coreProperties>
</file>